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0" w:beforeAutospacing="0" w:after="60" w:afterAutospacing="0" w:line="18" w:lineRule="atLeast"/>
        <w:ind w:left="0" w:right="0"/>
        <w:rPr>
          <w:rFonts w:ascii="Helvetica" w:hAnsi="Helvetica" w:eastAsia="Helvetica" w:cs="Helvetica"/>
          <w:color w:val="37474F"/>
          <w:sz w:val="37"/>
          <w:szCs w:val="37"/>
        </w:rPr>
      </w:pPr>
      <w:r>
        <w:rPr>
          <w:rFonts w:hint="default" w:ascii="Helvetica" w:hAnsi="Helvetica" w:eastAsia="Helvetica" w:cs="Helvetica"/>
          <w:color w:val="37474F"/>
          <w:sz w:val="37"/>
          <w:szCs w:val="37"/>
        </w:rPr>
        <w:t>滨州职业学院:</w:t>
      </w:r>
      <w:bookmarkStart w:id="0" w:name="_GoBack"/>
      <w:r>
        <w:rPr>
          <w:rFonts w:hint="default" w:ascii="Helvetica" w:hAnsi="Helvetica" w:eastAsia="Helvetica" w:cs="Helvetica"/>
          <w:color w:val="37474F"/>
          <w:sz w:val="37"/>
          <w:szCs w:val="37"/>
        </w:rPr>
        <w:t>系统推进十项计划 打造技术技能人才培养高地</w:t>
      </w:r>
    </w:p>
    <w:bookmarkEnd w:id="0"/>
    <w:p>
      <w:pPr>
        <w:keepNext w:val="0"/>
        <w:keepLines w:val="0"/>
        <w:pageBreakBefore w:val="0"/>
        <w:widowControl/>
        <w:suppressLineNumbers w:val="0"/>
        <w:pBdr>
          <w:bottom w:val="single" w:color="F7F7F7" w:sz="4" w:space="12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color w:val="A3AFB7"/>
          <w:sz w:val="24"/>
          <w:szCs w:val="24"/>
        </w:rPr>
      </w:pPr>
      <w:r>
        <w:rPr>
          <w:rFonts w:ascii="宋体" w:hAnsi="宋体" w:eastAsia="宋体" w:cs="宋体"/>
          <w:color w:val="A3AFB7"/>
          <w:kern w:val="0"/>
          <w:sz w:val="19"/>
          <w:szCs w:val="19"/>
          <w:lang w:val="en-US" w:eastAsia="zh-CN" w:bidi="ar"/>
        </w:rPr>
        <w:br w:type="textWrapping"/>
      </w:r>
      <w:r>
        <w:rPr>
          <w:rFonts w:ascii="宋体" w:hAnsi="宋体" w:eastAsia="宋体" w:cs="宋体"/>
          <w:color w:val="A3AFB7"/>
          <w:kern w:val="0"/>
          <w:sz w:val="24"/>
          <w:szCs w:val="24"/>
          <w:lang w:val="en-US" w:eastAsia="zh-CN" w:bidi="ar"/>
        </w:rPr>
        <w:t>发布时间：2020-09-25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68" w:afterAutospacing="0" w:line="360" w:lineRule="auto"/>
        <w:ind w:left="0" w:firstLine="420"/>
        <w:textAlignment w:val="auto"/>
        <w:rPr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2A333C"/>
          <w:spacing w:val="0"/>
          <w:sz w:val="24"/>
          <w:szCs w:val="24"/>
          <w:bdr w:val="none" w:color="auto" w:sz="0" w:space="0"/>
          <w:shd w:val="clear" w:fill="FFFFFF"/>
        </w:rPr>
        <w:t>滨州职业学院认真贯彻落实教育部、省委省政府、省教育厅、市委市政府工作部署，把“双高”建设与服务山东“八大战略”布局、服务“富强滨州”建设相结合，落实新时代职业教育“三个转变”要求，以提质培优、增值赋能为主线，系统推进十项计划，构建“上下贯通、书证融通、普职沟通”人才培养体系，打造技术技能人才培养高地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68" w:afterAutospacing="0" w:line="360" w:lineRule="auto"/>
        <w:ind w:left="0" w:firstLine="420"/>
        <w:textAlignment w:val="auto"/>
        <w:rPr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2A333C"/>
          <w:spacing w:val="0"/>
          <w:sz w:val="24"/>
          <w:szCs w:val="24"/>
          <w:bdr w:val="none" w:color="auto" w:sz="0" w:space="0"/>
          <w:shd w:val="clear" w:fill="FFFFFF"/>
        </w:rPr>
        <w:t>一、上下贯通，推动中、高、本衔接贯通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68" w:afterAutospacing="0" w:line="360" w:lineRule="auto"/>
        <w:ind w:left="0" w:firstLine="420"/>
        <w:textAlignment w:val="auto"/>
        <w:rPr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2A333C"/>
          <w:spacing w:val="0"/>
          <w:sz w:val="24"/>
          <w:szCs w:val="24"/>
          <w:bdr w:val="none" w:color="auto" w:sz="0" w:space="0"/>
          <w:shd w:val="clear" w:fill="FFFFFF"/>
        </w:rPr>
        <w:t>以培养创新型、复合型、发展型、高素质、高层次“三型、两高”技术技能人才为目标，实施“中职教育引领计划、高职质量夯实计划、长学制培养提升计划、职教本科专业试点计划、专硕培养贯通计划”五项计划，贯通培养目标、课程体系、实验实训、教师队伍、技术研发、质量管理等并实现梯级衔接，实现由技术技能人才、高层次技术技能人才向高层次应用型专门人才的贯通提升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68" w:afterAutospacing="0" w:line="360" w:lineRule="auto"/>
        <w:ind w:left="0" w:firstLine="420"/>
        <w:textAlignment w:val="auto"/>
        <w:rPr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2A333C"/>
          <w:spacing w:val="0"/>
          <w:sz w:val="24"/>
          <w:szCs w:val="24"/>
          <w:bdr w:val="none" w:color="auto" w:sz="0" w:space="0"/>
          <w:shd w:val="clear" w:fill="FFFFFF"/>
        </w:rPr>
        <w:t>实施“中职教育引领计划”。搭建滨州市职教合作办学联盟，引导中职学校在课程体系、实训体系、教师队伍、质量管理等方面实行全方位对接；开展面向中职教育的教学改革、内涵建设、素质提升等专题培训，提升渤海科技职业学院、滨州健康职业学院等区域民办学校学生职业素养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68" w:afterAutospacing="0" w:line="360" w:lineRule="auto"/>
        <w:ind w:left="0" w:firstLine="420"/>
        <w:textAlignment w:val="auto"/>
        <w:rPr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2A333C"/>
          <w:spacing w:val="0"/>
          <w:sz w:val="24"/>
          <w:szCs w:val="24"/>
          <w:bdr w:val="none" w:color="auto" w:sz="0" w:space="0"/>
          <w:shd w:val="clear" w:fill="FFFFFF"/>
        </w:rPr>
        <w:t>实施“高职质量夯实计划”。按照“一批高水平产教融合平台、一批国际通用的教学标准、一批高水平专业带头人和高层次人才、一批高水平双师型教师、一批高水平实践教学基地和技术技能创新平台、一批高水平合作企业、一批对外合作交流项目”的要求，推动</w:t>
      </w:r>
      <w:r>
        <w:rPr>
          <w:rFonts w:hint="default" w:ascii="Segoe UI" w:hAnsi="Segoe UI" w:eastAsia="Segoe UI" w:cs="Segoe UI"/>
          <w:i w:val="0"/>
          <w:caps w:val="0"/>
          <w:color w:val="2A333C"/>
          <w:spacing w:val="0"/>
          <w:sz w:val="24"/>
          <w:szCs w:val="24"/>
          <w:bdr w:val="none" w:color="auto" w:sz="0" w:space="0"/>
          <w:shd w:val="clear" w:fill="FFFFFF"/>
        </w:rPr>
        <w:t>8</w:t>
      </w:r>
      <w:r>
        <w:rPr>
          <w:rFonts w:hint="eastAsia" w:ascii="宋体" w:hAnsi="宋体" w:eastAsia="宋体" w:cs="宋体"/>
          <w:i w:val="0"/>
          <w:caps w:val="0"/>
          <w:color w:val="2A333C"/>
          <w:spacing w:val="0"/>
          <w:sz w:val="24"/>
          <w:szCs w:val="24"/>
          <w:bdr w:val="none" w:color="auto" w:sz="0" w:space="0"/>
          <w:shd w:val="clear" w:fill="FFFFFF"/>
        </w:rPr>
        <w:t>大专业群、</w:t>
      </w:r>
      <w:r>
        <w:rPr>
          <w:rFonts w:hint="default" w:ascii="Segoe UI" w:hAnsi="Segoe UI" w:eastAsia="Segoe UI" w:cs="Segoe UI"/>
          <w:i w:val="0"/>
          <w:caps w:val="0"/>
          <w:color w:val="2A333C"/>
          <w:spacing w:val="0"/>
          <w:sz w:val="24"/>
          <w:szCs w:val="24"/>
          <w:bdr w:val="none" w:color="auto" w:sz="0" w:space="0"/>
          <w:shd w:val="clear" w:fill="FFFFFF"/>
        </w:rPr>
        <w:t>45</w:t>
      </w:r>
      <w:r>
        <w:rPr>
          <w:rFonts w:hint="eastAsia" w:ascii="宋体" w:hAnsi="宋体" w:eastAsia="宋体" w:cs="宋体"/>
          <w:i w:val="0"/>
          <w:caps w:val="0"/>
          <w:color w:val="2A333C"/>
          <w:spacing w:val="0"/>
          <w:sz w:val="24"/>
          <w:szCs w:val="24"/>
          <w:bdr w:val="none" w:color="auto" w:sz="0" w:space="0"/>
          <w:shd w:val="clear" w:fill="FFFFFF"/>
        </w:rPr>
        <w:t>个高职专业提档升级。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68" w:afterAutospacing="0" w:line="360" w:lineRule="auto"/>
        <w:ind w:left="0" w:firstLine="420"/>
        <w:textAlignment w:val="auto"/>
        <w:rPr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2A333C"/>
          <w:spacing w:val="0"/>
          <w:sz w:val="24"/>
          <w:szCs w:val="24"/>
          <w:bdr w:val="none" w:color="auto" w:sz="0" w:space="0"/>
          <w:shd w:val="clear" w:fill="FFFFFF"/>
        </w:rPr>
        <w:t>实施“长学制培养提升计划”。按照“一体化”培养要求，积极实行“</w:t>
      </w:r>
      <w:r>
        <w:rPr>
          <w:rFonts w:hint="default" w:ascii="Segoe UI" w:hAnsi="Segoe UI" w:eastAsia="Segoe UI" w:cs="Segoe UI"/>
          <w:i w:val="0"/>
          <w:caps w:val="0"/>
          <w:color w:val="2A333C"/>
          <w:spacing w:val="0"/>
          <w:sz w:val="24"/>
          <w:szCs w:val="24"/>
          <w:bdr w:val="none" w:color="auto" w:sz="0" w:space="0"/>
          <w:shd w:val="clear" w:fill="FFFFFF"/>
        </w:rPr>
        <w:t>2+3</w:t>
      </w:r>
      <w:r>
        <w:rPr>
          <w:rFonts w:hint="eastAsia" w:ascii="宋体" w:hAnsi="宋体" w:eastAsia="宋体" w:cs="宋体"/>
          <w:i w:val="0"/>
          <w:caps w:val="0"/>
          <w:color w:val="2A333C"/>
          <w:spacing w:val="0"/>
          <w:sz w:val="24"/>
          <w:szCs w:val="24"/>
          <w:bdr w:val="none" w:color="auto" w:sz="0" w:space="0"/>
          <w:shd w:val="clear" w:fill="FFFFFF"/>
        </w:rPr>
        <w:t>”（</w:t>
      </w:r>
      <w:r>
        <w:rPr>
          <w:rFonts w:hint="default" w:ascii="Segoe UI" w:hAnsi="Segoe UI" w:eastAsia="Segoe UI" w:cs="Segoe UI"/>
          <w:i w:val="0"/>
          <w:caps w:val="0"/>
          <w:color w:val="2A333C"/>
          <w:spacing w:val="0"/>
          <w:sz w:val="24"/>
          <w:szCs w:val="24"/>
          <w:bdr w:val="none" w:color="auto" w:sz="0" w:space="0"/>
          <w:shd w:val="clear" w:fill="FFFFFF"/>
        </w:rPr>
        <w:t>2</w:t>
      </w:r>
      <w:r>
        <w:rPr>
          <w:rFonts w:hint="eastAsia" w:ascii="宋体" w:hAnsi="宋体" w:eastAsia="宋体" w:cs="宋体"/>
          <w:i w:val="0"/>
          <w:caps w:val="0"/>
          <w:color w:val="2A333C"/>
          <w:spacing w:val="0"/>
          <w:sz w:val="24"/>
          <w:szCs w:val="24"/>
          <w:bdr w:val="none" w:color="auto" w:sz="0" w:space="0"/>
          <w:shd w:val="clear" w:fill="FFFFFF"/>
        </w:rPr>
        <w:t>年本科、</w:t>
      </w:r>
      <w:r>
        <w:rPr>
          <w:rFonts w:hint="default" w:ascii="Segoe UI" w:hAnsi="Segoe UI" w:eastAsia="Segoe UI" w:cs="Segoe UI"/>
          <w:i w:val="0"/>
          <w:caps w:val="0"/>
          <w:color w:val="2A333C"/>
          <w:spacing w:val="0"/>
          <w:sz w:val="24"/>
          <w:szCs w:val="24"/>
          <w:bdr w:val="none" w:color="auto" w:sz="0" w:space="0"/>
          <w:shd w:val="clear" w:fill="FFFFFF"/>
        </w:rPr>
        <w:t>3</w:t>
      </w:r>
      <w:r>
        <w:rPr>
          <w:rFonts w:hint="eastAsia" w:ascii="宋体" w:hAnsi="宋体" w:eastAsia="宋体" w:cs="宋体"/>
          <w:i w:val="0"/>
          <w:caps w:val="0"/>
          <w:color w:val="2A333C"/>
          <w:spacing w:val="0"/>
          <w:sz w:val="24"/>
          <w:szCs w:val="24"/>
          <w:bdr w:val="none" w:color="auto" w:sz="0" w:space="0"/>
          <w:shd w:val="clear" w:fill="FFFFFF"/>
        </w:rPr>
        <w:t>年高职）、“</w:t>
      </w:r>
      <w:r>
        <w:rPr>
          <w:rFonts w:hint="default" w:ascii="Segoe UI" w:hAnsi="Segoe UI" w:eastAsia="Segoe UI" w:cs="Segoe UI"/>
          <w:i w:val="0"/>
          <w:caps w:val="0"/>
          <w:color w:val="2A333C"/>
          <w:spacing w:val="0"/>
          <w:sz w:val="24"/>
          <w:szCs w:val="24"/>
          <w:bdr w:val="none" w:color="auto" w:sz="0" w:space="0"/>
          <w:shd w:val="clear" w:fill="FFFFFF"/>
        </w:rPr>
        <w:t>2+2+1</w:t>
      </w:r>
      <w:r>
        <w:rPr>
          <w:rFonts w:hint="eastAsia" w:ascii="宋体" w:hAnsi="宋体" w:eastAsia="宋体" w:cs="宋体"/>
          <w:i w:val="0"/>
          <w:caps w:val="0"/>
          <w:color w:val="2A333C"/>
          <w:spacing w:val="0"/>
          <w:sz w:val="24"/>
          <w:szCs w:val="24"/>
          <w:bdr w:val="none" w:color="auto" w:sz="0" w:space="0"/>
          <w:shd w:val="clear" w:fill="FFFFFF"/>
        </w:rPr>
        <w:t>”（</w:t>
      </w:r>
      <w:r>
        <w:rPr>
          <w:rFonts w:hint="default" w:ascii="Segoe UI" w:hAnsi="Segoe UI" w:eastAsia="Segoe UI" w:cs="Segoe UI"/>
          <w:i w:val="0"/>
          <w:caps w:val="0"/>
          <w:color w:val="2A333C"/>
          <w:spacing w:val="0"/>
          <w:sz w:val="24"/>
          <w:szCs w:val="24"/>
          <w:bdr w:val="none" w:color="auto" w:sz="0" w:space="0"/>
          <w:shd w:val="clear" w:fill="FFFFFF"/>
        </w:rPr>
        <w:t>2</w:t>
      </w:r>
      <w:r>
        <w:rPr>
          <w:rFonts w:hint="eastAsia" w:ascii="宋体" w:hAnsi="宋体" w:eastAsia="宋体" w:cs="宋体"/>
          <w:i w:val="0"/>
          <w:caps w:val="0"/>
          <w:color w:val="2A333C"/>
          <w:spacing w:val="0"/>
          <w:sz w:val="24"/>
          <w:szCs w:val="24"/>
          <w:bdr w:val="none" w:color="auto" w:sz="0" w:space="0"/>
          <w:shd w:val="clear" w:fill="FFFFFF"/>
        </w:rPr>
        <w:t>年本科、</w:t>
      </w:r>
      <w:r>
        <w:rPr>
          <w:rFonts w:hint="default" w:ascii="Segoe UI" w:hAnsi="Segoe UI" w:eastAsia="Segoe UI" w:cs="Segoe UI"/>
          <w:i w:val="0"/>
          <w:caps w:val="0"/>
          <w:color w:val="2A333C"/>
          <w:spacing w:val="0"/>
          <w:sz w:val="24"/>
          <w:szCs w:val="24"/>
          <w:bdr w:val="none" w:color="auto" w:sz="0" w:space="0"/>
          <w:shd w:val="clear" w:fill="FFFFFF"/>
        </w:rPr>
        <w:t>2</w:t>
      </w:r>
      <w:r>
        <w:rPr>
          <w:rFonts w:hint="eastAsia" w:ascii="宋体" w:hAnsi="宋体" w:eastAsia="宋体" w:cs="宋体"/>
          <w:i w:val="0"/>
          <w:caps w:val="0"/>
          <w:color w:val="2A333C"/>
          <w:spacing w:val="0"/>
          <w:sz w:val="24"/>
          <w:szCs w:val="24"/>
          <w:bdr w:val="none" w:color="auto" w:sz="0" w:space="0"/>
          <w:shd w:val="clear" w:fill="FFFFFF"/>
        </w:rPr>
        <w:t>年高职、</w:t>
      </w:r>
      <w:r>
        <w:rPr>
          <w:rFonts w:hint="default" w:ascii="Segoe UI" w:hAnsi="Segoe UI" w:eastAsia="Segoe UI" w:cs="Segoe UI"/>
          <w:i w:val="0"/>
          <w:caps w:val="0"/>
          <w:color w:val="2A333C"/>
          <w:spacing w:val="0"/>
          <w:sz w:val="24"/>
          <w:szCs w:val="24"/>
          <w:bdr w:val="none" w:color="auto" w:sz="0" w:space="0"/>
          <w:shd w:val="clear" w:fill="FFFFFF"/>
        </w:rPr>
        <w:t>1</w:t>
      </w:r>
      <w:r>
        <w:rPr>
          <w:rFonts w:hint="eastAsia" w:ascii="宋体" w:hAnsi="宋体" w:eastAsia="宋体" w:cs="宋体"/>
          <w:i w:val="0"/>
          <w:caps w:val="0"/>
          <w:color w:val="2A333C"/>
          <w:spacing w:val="0"/>
          <w:sz w:val="24"/>
          <w:szCs w:val="24"/>
          <w:bdr w:val="none" w:color="auto" w:sz="0" w:space="0"/>
          <w:shd w:val="clear" w:fill="FFFFFF"/>
        </w:rPr>
        <w:t>年本科）、“</w:t>
      </w:r>
      <w:r>
        <w:rPr>
          <w:rFonts w:hint="default" w:ascii="Segoe UI" w:hAnsi="Segoe UI" w:eastAsia="Segoe UI" w:cs="Segoe UI"/>
          <w:i w:val="0"/>
          <w:caps w:val="0"/>
          <w:color w:val="2A333C"/>
          <w:spacing w:val="0"/>
          <w:sz w:val="24"/>
          <w:szCs w:val="24"/>
          <w:bdr w:val="none" w:color="auto" w:sz="0" w:space="0"/>
          <w:shd w:val="clear" w:fill="FFFFFF"/>
        </w:rPr>
        <w:t>1+2+2</w:t>
      </w:r>
      <w:r>
        <w:rPr>
          <w:rFonts w:hint="eastAsia" w:ascii="宋体" w:hAnsi="宋体" w:eastAsia="宋体" w:cs="宋体"/>
          <w:i w:val="0"/>
          <w:caps w:val="0"/>
          <w:color w:val="2A333C"/>
          <w:spacing w:val="0"/>
          <w:sz w:val="24"/>
          <w:szCs w:val="24"/>
          <w:bdr w:val="none" w:color="auto" w:sz="0" w:space="0"/>
          <w:shd w:val="clear" w:fill="FFFFFF"/>
        </w:rPr>
        <w:t>”（</w:t>
      </w:r>
      <w:r>
        <w:rPr>
          <w:rFonts w:hint="default" w:ascii="Segoe UI" w:hAnsi="Segoe UI" w:eastAsia="Segoe UI" w:cs="Segoe UI"/>
          <w:i w:val="0"/>
          <w:caps w:val="0"/>
          <w:color w:val="2A333C"/>
          <w:spacing w:val="0"/>
          <w:sz w:val="24"/>
          <w:szCs w:val="24"/>
          <w:bdr w:val="none" w:color="auto" w:sz="0" w:space="0"/>
          <w:shd w:val="clear" w:fill="FFFFFF"/>
        </w:rPr>
        <w:t>1</w:t>
      </w:r>
      <w:r>
        <w:rPr>
          <w:rFonts w:hint="eastAsia" w:ascii="宋体" w:hAnsi="宋体" w:eastAsia="宋体" w:cs="宋体"/>
          <w:i w:val="0"/>
          <w:caps w:val="0"/>
          <w:color w:val="2A333C"/>
          <w:spacing w:val="0"/>
          <w:sz w:val="24"/>
          <w:szCs w:val="24"/>
          <w:bdr w:val="none" w:color="auto" w:sz="0" w:space="0"/>
          <w:shd w:val="clear" w:fill="FFFFFF"/>
        </w:rPr>
        <w:t>年本科、</w:t>
      </w:r>
      <w:r>
        <w:rPr>
          <w:rFonts w:hint="default" w:ascii="Segoe UI" w:hAnsi="Segoe UI" w:eastAsia="Segoe UI" w:cs="Segoe UI"/>
          <w:i w:val="0"/>
          <w:caps w:val="0"/>
          <w:color w:val="2A333C"/>
          <w:spacing w:val="0"/>
          <w:sz w:val="24"/>
          <w:szCs w:val="24"/>
          <w:bdr w:val="none" w:color="auto" w:sz="0" w:space="0"/>
          <w:shd w:val="clear" w:fill="FFFFFF"/>
        </w:rPr>
        <w:t>2</w:t>
      </w:r>
      <w:r>
        <w:rPr>
          <w:rFonts w:hint="eastAsia" w:ascii="宋体" w:hAnsi="宋体" w:eastAsia="宋体" w:cs="宋体"/>
          <w:i w:val="0"/>
          <w:caps w:val="0"/>
          <w:color w:val="2A333C"/>
          <w:spacing w:val="0"/>
          <w:sz w:val="24"/>
          <w:szCs w:val="24"/>
          <w:bdr w:val="none" w:color="auto" w:sz="0" w:space="0"/>
          <w:shd w:val="clear" w:fill="FFFFFF"/>
        </w:rPr>
        <w:t>年高职、</w:t>
      </w:r>
      <w:r>
        <w:rPr>
          <w:rFonts w:hint="default" w:ascii="Segoe UI" w:hAnsi="Segoe UI" w:eastAsia="Segoe UI" w:cs="Segoe UI"/>
          <w:i w:val="0"/>
          <w:caps w:val="0"/>
          <w:color w:val="2A333C"/>
          <w:spacing w:val="0"/>
          <w:sz w:val="24"/>
          <w:szCs w:val="24"/>
          <w:bdr w:val="none" w:color="auto" w:sz="0" w:space="0"/>
          <w:shd w:val="clear" w:fill="FFFFFF"/>
        </w:rPr>
        <w:t>2</w:t>
      </w:r>
      <w:r>
        <w:rPr>
          <w:rFonts w:hint="eastAsia" w:ascii="宋体" w:hAnsi="宋体" w:eastAsia="宋体" w:cs="宋体"/>
          <w:i w:val="0"/>
          <w:caps w:val="0"/>
          <w:color w:val="2A333C"/>
          <w:spacing w:val="0"/>
          <w:sz w:val="24"/>
          <w:szCs w:val="24"/>
          <w:bdr w:val="none" w:color="auto" w:sz="0" w:space="0"/>
          <w:shd w:val="clear" w:fill="FFFFFF"/>
        </w:rPr>
        <w:t>年本科）等不同模式，完善专业一体化人才培养方案，发挥学院与本科高校的培养优势。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68" w:afterAutospacing="0" w:line="360" w:lineRule="auto"/>
        <w:ind w:left="0" w:firstLine="420"/>
        <w:textAlignment w:val="auto"/>
        <w:rPr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2A333C"/>
          <w:spacing w:val="0"/>
          <w:sz w:val="24"/>
          <w:szCs w:val="24"/>
          <w:bdr w:val="none" w:color="auto" w:sz="0" w:space="0"/>
          <w:shd w:val="clear" w:fill="FFFFFF"/>
        </w:rPr>
        <w:t>实施“职教本科专业试点计划”。推动职业教育本科专业试点，重点实施目标定位、培养模式、课程体系、教师队伍、实验实训、技术研发、质量管理等“六项升级”。开展职业教育本科专业试点，开发制定职业教育本科专业教学标准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68" w:afterAutospacing="0" w:line="360" w:lineRule="auto"/>
        <w:ind w:left="0" w:firstLine="420"/>
        <w:textAlignment w:val="auto"/>
        <w:rPr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2A333C"/>
          <w:spacing w:val="0"/>
          <w:sz w:val="24"/>
          <w:szCs w:val="24"/>
          <w:bdr w:val="none" w:color="auto" w:sz="0" w:space="0"/>
          <w:shd w:val="clear" w:fill="FFFFFF"/>
        </w:rPr>
        <w:t>二、书证融通，推动职业教育、终身教育相融通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68" w:afterAutospacing="0" w:line="360" w:lineRule="auto"/>
        <w:ind w:left="0" w:firstLine="420"/>
        <w:textAlignment w:val="auto"/>
        <w:rPr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2A333C"/>
          <w:spacing w:val="0"/>
          <w:sz w:val="24"/>
          <w:szCs w:val="24"/>
          <w:bdr w:val="none" w:color="auto" w:sz="0" w:space="0"/>
          <w:shd w:val="clear" w:fill="FFFFFF"/>
        </w:rPr>
        <w:t>落实学历教育和培训并举并重的法定职责，实现职业标准与专业“培养目标、教学标准、培养模式、评价制度”全方位对接，促进学历证书与职业技能（职业资格）证书、与行业企业标准融通，打造职业教育与就业的“旋转门”，建立“学习</w:t>
      </w:r>
      <w:r>
        <w:rPr>
          <w:rFonts w:hint="default" w:ascii="Segoe UI" w:hAnsi="Segoe UI" w:eastAsia="Segoe UI" w:cs="Segoe UI"/>
          <w:i w:val="0"/>
          <w:caps w:val="0"/>
          <w:color w:val="2A333C"/>
          <w:spacing w:val="0"/>
          <w:sz w:val="24"/>
          <w:szCs w:val="24"/>
          <w:bdr w:val="none" w:color="auto" w:sz="0" w:space="0"/>
          <w:shd w:val="clear" w:fill="FFFFFF"/>
        </w:rPr>
        <w:t>-</w:t>
      </w:r>
      <w:r>
        <w:rPr>
          <w:rFonts w:hint="eastAsia" w:ascii="宋体" w:hAnsi="宋体" w:eastAsia="宋体" w:cs="宋体"/>
          <w:i w:val="0"/>
          <w:caps w:val="0"/>
          <w:color w:val="2A333C"/>
          <w:spacing w:val="0"/>
          <w:sz w:val="24"/>
          <w:szCs w:val="24"/>
          <w:bdr w:val="none" w:color="auto" w:sz="0" w:space="0"/>
          <w:shd w:val="clear" w:fill="FFFFFF"/>
        </w:rPr>
        <w:t>就业</w:t>
      </w:r>
      <w:r>
        <w:rPr>
          <w:rFonts w:hint="default" w:ascii="Segoe UI" w:hAnsi="Segoe UI" w:eastAsia="Segoe UI" w:cs="Segoe UI"/>
          <w:i w:val="0"/>
          <w:caps w:val="0"/>
          <w:color w:val="2A333C"/>
          <w:spacing w:val="0"/>
          <w:sz w:val="24"/>
          <w:szCs w:val="24"/>
          <w:bdr w:val="none" w:color="auto" w:sz="0" w:space="0"/>
          <w:shd w:val="clear" w:fill="FFFFFF"/>
        </w:rPr>
        <w:t>-</w:t>
      </w:r>
      <w:r>
        <w:rPr>
          <w:rFonts w:hint="eastAsia" w:ascii="宋体" w:hAnsi="宋体" w:eastAsia="宋体" w:cs="宋体"/>
          <w:i w:val="0"/>
          <w:caps w:val="0"/>
          <w:color w:val="2A333C"/>
          <w:spacing w:val="0"/>
          <w:sz w:val="24"/>
          <w:szCs w:val="24"/>
          <w:bdr w:val="none" w:color="auto" w:sz="0" w:space="0"/>
          <w:shd w:val="clear" w:fill="FFFFFF"/>
        </w:rPr>
        <w:t>再学习”的培训通道，实现职业教育的全程教育和终生教育。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68" w:afterAutospacing="0" w:line="360" w:lineRule="auto"/>
        <w:ind w:left="0" w:firstLine="420"/>
        <w:textAlignment w:val="auto"/>
        <w:rPr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2A333C"/>
          <w:spacing w:val="0"/>
          <w:sz w:val="24"/>
          <w:szCs w:val="24"/>
          <w:bdr w:val="none" w:color="auto" w:sz="0" w:space="0"/>
          <w:shd w:val="clear" w:fill="FFFFFF"/>
        </w:rPr>
        <w:t>实施“职业技能（职业资格）证书融通计划”。设立职业技能证书考试培训基地，面向社会积极开展职业培训。根据国家及山东省学分银行建设安排，实现职业培训学习成果认定、积累和转换。试点“</w:t>
      </w:r>
      <w:r>
        <w:rPr>
          <w:rFonts w:hint="default" w:ascii="Segoe UI" w:hAnsi="Segoe UI" w:eastAsia="Segoe UI" w:cs="Segoe UI"/>
          <w:i w:val="0"/>
          <w:caps w:val="0"/>
          <w:color w:val="2A333C"/>
          <w:spacing w:val="0"/>
          <w:sz w:val="24"/>
          <w:szCs w:val="24"/>
          <w:bdr w:val="none" w:color="auto" w:sz="0" w:space="0"/>
          <w:shd w:val="clear" w:fill="FFFFFF"/>
        </w:rPr>
        <w:t>1+X</w:t>
      </w:r>
      <w:r>
        <w:rPr>
          <w:rFonts w:hint="eastAsia" w:ascii="宋体" w:hAnsi="宋体" w:eastAsia="宋体" w:cs="宋体"/>
          <w:i w:val="0"/>
          <w:caps w:val="0"/>
          <w:color w:val="2A333C"/>
          <w:spacing w:val="0"/>
          <w:sz w:val="24"/>
          <w:szCs w:val="24"/>
          <w:bdr w:val="none" w:color="auto" w:sz="0" w:space="0"/>
          <w:shd w:val="clear" w:fill="FFFFFF"/>
        </w:rPr>
        <w:t>”制度专业覆盖率达到</w:t>
      </w:r>
      <w:r>
        <w:rPr>
          <w:rFonts w:hint="default" w:ascii="Segoe UI" w:hAnsi="Segoe UI" w:eastAsia="Segoe UI" w:cs="Segoe UI"/>
          <w:i w:val="0"/>
          <w:caps w:val="0"/>
          <w:color w:val="2A333C"/>
          <w:spacing w:val="0"/>
          <w:sz w:val="24"/>
          <w:szCs w:val="24"/>
          <w:bdr w:val="none" w:color="auto" w:sz="0" w:space="0"/>
          <w:shd w:val="clear" w:fill="FFFFFF"/>
        </w:rPr>
        <w:t>90%</w:t>
      </w:r>
      <w:r>
        <w:rPr>
          <w:rFonts w:hint="eastAsia" w:ascii="宋体" w:hAnsi="宋体" w:eastAsia="宋体" w:cs="宋体"/>
          <w:i w:val="0"/>
          <w:caps w:val="0"/>
          <w:color w:val="2A333C"/>
          <w:spacing w:val="0"/>
          <w:sz w:val="24"/>
          <w:szCs w:val="24"/>
          <w:bdr w:val="none" w:color="auto" w:sz="0" w:space="0"/>
          <w:shd w:val="clear" w:fill="FFFFFF"/>
        </w:rPr>
        <w:t>以上、毕业生职业技能证书获取率达到</w:t>
      </w:r>
      <w:r>
        <w:rPr>
          <w:rFonts w:hint="default" w:ascii="Segoe UI" w:hAnsi="Segoe UI" w:eastAsia="Segoe UI" w:cs="Segoe UI"/>
          <w:i w:val="0"/>
          <w:caps w:val="0"/>
          <w:color w:val="2A333C"/>
          <w:spacing w:val="0"/>
          <w:sz w:val="24"/>
          <w:szCs w:val="24"/>
          <w:bdr w:val="none" w:color="auto" w:sz="0" w:space="0"/>
          <w:shd w:val="clear" w:fill="FFFFFF"/>
        </w:rPr>
        <w:t>90%</w:t>
      </w:r>
      <w:r>
        <w:rPr>
          <w:rFonts w:hint="eastAsia" w:ascii="宋体" w:hAnsi="宋体" w:eastAsia="宋体" w:cs="宋体"/>
          <w:i w:val="0"/>
          <w:caps w:val="0"/>
          <w:color w:val="2A333C"/>
          <w:spacing w:val="0"/>
          <w:sz w:val="24"/>
          <w:szCs w:val="24"/>
          <w:bdr w:val="none" w:color="auto" w:sz="0" w:space="0"/>
          <w:shd w:val="clear" w:fill="FFFFFF"/>
        </w:rPr>
        <w:t>以上。与企业合作开发职业技能等级证书标准。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68" w:afterAutospacing="0" w:line="360" w:lineRule="auto"/>
        <w:ind w:left="0" w:firstLine="420"/>
        <w:textAlignment w:val="auto"/>
        <w:rPr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2A333C"/>
          <w:spacing w:val="0"/>
          <w:sz w:val="24"/>
          <w:szCs w:val="24"/>
          <w:bdr w:val="none" w:color="auto" w:sz="0" w:space="0"/>
          <w:shd w:val="clear" w:fill="FFFFFF"/>
        </w:rPr>
        <w:t>实施“职业技能培训包开发计划”。以职业技能（职业资格证书）证书获取为切入点，服务企业职工、农民工、在校生、“两后生”、退役军人、职业农民等不同群体，依托专业建设培训品牌，开发职业技能培训包，建设职业技能培训示范课程，打造面向区域技能提升的精品培训超市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68" w:afterAutospacing="0" w:line="360" w:lineRule="auto"/>
        <w:ind w:left="0" w:firstLine="420"/>
        <w:textAlignment w:val="auto"/>
        <w:rPr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2A333C"/>
          <w:spacing w:val="0"/>
          <w:sz w:val="24"/>
          <w:szCs w:val="24"/>
          <w:bdr w:val="none" w:color="auto" w:sz="0" w:space="0"/>
          <w:shd w:val="clear" w:fill="FFFFFF"/>
        </w:rPr>
        <w:t>实施“国际行业头部企业标准引入计划”。建立标准引入机制，将最新行业企业标准、国际认证标准融入专业和课程标准，对接各专业群与国内外行业头部企业最新标准。推动各专业积极参与专业认证和发展水平评价，引进融入国际行业头部企业标准及国际通用认证标准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68" w:afterAutospacing="0" w:line="360" w:lineRule="auto"/>
        <w:ind w:left="0" w:firstLine="420"/>
        <w:textAlignment w:val="auto"/>
        <w:rPr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2A333C"/>
          <w:spacing w:val="0"/>
          <w:sz w:val="24"/>
          <w:szCs w:val="24"/>
          <w:bdr w:val="none" w:color="auto" w:sz="0" w:space="0"/>
          <w:shd w:val="clear" w:fill="FFFFFF"/>
        </w:rPr>
        <w:t>三、普职沟通，推动基础教育、普通本科教育相沟通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68" w:afterAutospacing="0" w:line="360" w:lineRule="auto"/>
        <w:ind w:left="0" w:firstLine="420"/>
        <w:textAlignment w:val="auto"/>
        <w:rPr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2A333C"/>
          <w:spacing w:val="0"/>
          <w:sz w:val="24"/>
          <w:szCs w:val="24"/>
          <w:bdr w:val="none" w:color="auto" w:sz="0" w:space="0"/>
          <w:shd w:val="clear" w:fill="FFFFFF"/>
        </w:rPr>
        <w:t>实施“职业教育启蒙计划”。开发职业教育启蒙课程和教学资源，开展中小学生职业性向测试服务；建设职业教育展示馆或体验馆，打造区域职业教育启蒙中心。依托学院特色专业打造面向春季高考学生的专业技能考试培训品牌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68" w:afterAutospacing="0" w:line="360" w:lineRule="auto"/>
        <w:ind w:left="0" w:firstLine="420"/>
        <w:textAlignment w:val="auto"/>
        <w:rPr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2A333C"/>
          <w:spacing w:val="0"/>
          <w:sz w:val="24"/>
          <w:szCs w:val="24"/>
          <w:bdr w:val="none" w:color="auto" w:sz="0" w:space="0"/>
          <w:shd w:val="clear" w:fill="FFFFFF"/>
        </w:rPr>
        <w:t>实施“本科院校协作计划”。与滨州医学院、山东理工大学、山东师范大学、山东科技大学、青岛科技大学等建立区域本科高校协作联盟，实施面向普通本科转型应用型本科、学院开展职业教育本科专业试点的协作计划，协同开展专业建设、课程改革、实习实训、技术研发、教改教研等，共同提升高层次技术技能人才和技术应用型人才的培养质量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68" w:afterAutospacing="0" w:line="360" w:lineRule="auto"/>
        <w:ind w:left="0" w:firstLine="420"/>
        <w:jc w:val="left"/>
        <w:textAlignment w:val="auto"/>
        <w:rPr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2A333C"/>
          <w:spacing w:val="0"/>
          <w:sz w:val="24"/>
          <w:szCs w:val="24"/>
          <w:bdr w:val="none" w:color="auto" w:sz="0" w:space="0"/>
          <w:shd w:val="clear" w:fill="FFFFFF"/>
        </w:rPr>
        <w:t>（作者：李明月，系滨州职业学院</w:t>
      </w:r>
      <w:r>
        <w:rPr>
          <w:rFonts w:hint="default" w:ascii="Segoe UI" w:hAnsi="Segoe UI" w:eastAsia="Segoe UI" w:cs="Segoe UI"/>
          <w:i w:val="0"/>
          <w:caps w:val="0"/>
          <w:color w:val="2A333C"/>
          <w:spacing w:val="0"/>
          <w:sz w:val="24"/>
          <w:szCs w:val="24"/>
          <w:bdr w:val="none" w:color="auto" w:sz="0" w:space="0"/>
          <w:shd w:val="clear" w:fill="FFFFFF"/>
        </w:rPr>
        <w:t> </w:t>
      </w:r>
      <w:r>
        <w:rPr>
          <w:rFonts w:hint="eastAsia" w:ascii="宋体" w:hAnsi="宋体" w:eastAsia="宋体" w:cs="宋体"/>
          <w:i w:val="0"/>
          <w:caps w:val="0"/>
          <w:color w:val="2A333C"/>
          <w:spacing w:val="0"/>
          <w:sz w:val="24"/>
          <w:szCs w:val="24"/>
          <w:bdr w:val="none" w:color="auto" w:sz="0" w:space="0"/>
          <w:shd w:val="clear" w:fill="FFFFFF"/>
        </w:rPr>
        <w:t>副院长</w:t>
      </w:r>
      <w:r>
        <w:rPr>
          <w:rFonts w:hint="default" w:ascii="Segoe UI" w:hAnsi="Segoe UI" w:eastAsia="Segoe UI" w:cs="Segoe UI"/>
          <w:i w:val="0"/>
          <w:caps w:val="0"/>
          <w:color w:val="2A333C"/>
          <w:spacing w:val="0"/>
          <w:sz w:val="24"/>
          <w:szCs w:val="24"/>
          <w:bdr w:val="none" w:color="auto" w:sz="0" w:space="0"/>
          <w:shd w:val="clear" w:fill="FFFFFF"/>
        </w:rPr>
        <w:t> </w:t>
      </w:r>
      <w:r>
        <w:rPr>
          <w:rFonts w:hint="eastAsia" w:ascii="宋体" w:hAnsi="宋体" w:eastAsia="宋体" w:cs="宋体"/>
          <w:i w:val="0"/>
          <w:caps w:val="0"/>
          <w:color w:val="2A333C"/>
          <w:spacing w:val="0"/>
          <w:sz w:val="24"/>
          <w:szCs w:val="24"/>
          <w:bdr w:val="none" w:color="auto" w:sz="0" w:space="0"/>
          <w:shd w:val="clear" w:fill="FFFFFF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AAE0BA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4"/>
      <w:szCs w:val="24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老马识途2014</cp:lastModifiedBy>
  <cp:lastPrinted>2020-09-26T08:48:18Z</cp:lastPrinted>
  <dcterms:modified xsi:type="dcterms:W3CDTF">2020-09-26T08:48:27Z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